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Текстовый блок"/>
        <w:bidi w:val="0"/>
      </w:pPr>
    </w:p>
    <w:p>
      <w:pPr>
        <w:pStyle w:val="Заголовок 2"/>
        <w:bidi w:val="0"/>
        <w:ind w:left="2268"/>
        <w:rPr>
          <w:rFonts w:ascii="Arial" w:cs="Arial" w:hAnsi="Arial" w:eastAsia="Arial"/>
          <w:spacing w:val="96"/>
        </w:rPr>
      </w:pPr>
      <w:r>
        <w:tab/>
      </w:r>
      <w:r>
        <w:rPr>
          <w:rFonts w:ascii="Arial" w:hAnsi="Arial" w:hint="default"/>
          <w:spacing w:val="96"/>
          <w:rtl w:val="0"/>
          <w:lang w:val="ru-RU"/>
        </w:rPr>
        <w:t>ОПРОСНЫЙ  ЛИСТ</w:t>
      </w:r>
    </w:p>
    <w:p>
      <w:pPr>
        <w:pStyle w:val="Текстовый блок"/>
        <w:rPr>
          <w:rFonts w:ascii="Arial" w:cs="Arial" w:hAnsi="Arial" w:eastAsia="Arial"/>
          <w:sz w:val="20"/>
          <w:szCs w:val="20"/>
        </w:rPr>
      </w:pPr>
      <w:r>
        <w:rPr>
          <w:rFonts w:ascii="Arial" w:cs="Arial" w:hAnsi="Arial" w:eastAsia="Arial"/>
          <w:sz w:val="20"/>
          <w:szCs w:val="20"/>
        </w:rPr>
        <w:tab/>
        <w:tab/>
        <w:tab/>
      </w:r>
    </w:p>
    <w:tbl>
      <w:tblPr>
        <w:tblW w:w="10455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6" w:space="0" w:shadow="0" w:frame="0"/>
          <w:insideV w:val="single" w:color="ffffff" w:sz="6" w:space="0" w:shadow="0" w:frame="0"/>
        </w:tblBorders>
        <w:shd w:val="clear" w:color="auto" w:fill="ced7e7"/>
        <w:tblLayout w:type="fixed"/>
      </w:tblPr>
      <w:tblGrid>
        <w:gridCol w:w="574"/>
        <w:gridCol w:w="3546"/>
        <w:gridCol w:w="629"/>
        <w:gridCol w:w="2292"/>
        <w:gridCol w:w="164"/>
        <w:gridCol w:w="370"/>
        <w:gridCol w:w="2022"/>
        <w:gridCol w:w="858"/>
      </w:tblGrid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1045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1.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Характеристика конструкции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1.1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Владелец конструкции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1.2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Местоположение конструкции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страна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регион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предприятие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цех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участок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1.3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Вид конструкции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резервуар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мост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др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.)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1.4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Габариты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длинна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ширина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высота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1.5</w:t>
            </w:r>
          </w:p>
        </w:tc>
        <w:tc>
          <w:tcPr>
            <w:tcW w:type="dxa" w:w="354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Площадь</w:t>
            </w:r>
          </w:p>
        </w:tc>
        <w:tc>
          <w:tcPr>
            <w:tcW w:type="dxa" w:w="345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Наружная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неизолированная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288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5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Наружная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изолированная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288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454"/>
            <w:gridSpan w:val="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Внутренняя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контактирующая с продуктом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2880"/>
            <w:gridSpan w:val="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1045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2.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Характеристика защищаемой поверхности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2.1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Материал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марка материала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2.2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Состояние поверхности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новая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ремонтная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2.3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Название существующей системы окраски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ее состояние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2.4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Способ и степень подготовки поверхности 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1045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3.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Условия эксплуатации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3.1</w:t>
            </w:r>
          </w:p>
        </w:tc>
        <w:tc>
          <w:tcPr>
            <w:tcW w:type="dxa" w:w="9881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НАРУЖНЫЕ ПОВЕРХНОСТИ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эксплуатируемые в атмосферных условиях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3.1.1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Расположение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внутри помещения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снаружи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воздействие УФ излучения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3.1.2</w:t>
            </w:r>
          </w:p>
        </w:tc>
        <w:tc>
          <w:tcPr>
            <w:tcW w:type="dxa" w:w="354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Температура поверхности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:</w:t>
            </w:r>
          </w:p>
        </w:tc>
        <w:tc>
          <w:tcPr>
            <w:tcW w:type="dxa" w:w="308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max</w:t>
            </w:r>
          </w:p>
        </w:tc>
        <w:tc>
          <w:tcPr>
            <w:tcW w:type="dxa" w:w="325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8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min</w:t>
            </w:r>
          </w:p>
        </w:tc>
        <w:tc>
          <w:tcPr>
            <w:tcW w:type="dxa" w:w="325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8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рабочая</w:t>
            </w:r>
          </w:p>
        </w:tc>
        <w:tc>
          <w:tcPr>
            <w:tcW w:type="dxa" w:w="325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084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возможность циклического изменения</w:t>
            </w:r>
          </w:p>
        </w:tc>
        <w:tc>
          <w:tcPr>
            <w:tcW w:type="dxa" w:w="3250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3.1.3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Относительная влажность воздуха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, %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366" w:hRule="atLeast"/>
        </w:trPr>
        <w:tc>
          <w:tcPr>
            <w:tcW w:type="dxa" w:w="574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3.1.4</w:t>
            </w:r>
          </w:p>
        </w:tc>
        <w:tc>
          <w:tcPr>
            <w:tcW w:type="dxa" w:w="3546"/>
            <w:vMerge w:val="restart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Характеристика окружающей среды по ИСО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12944-2 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выбрать категорию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b w:val="1"/>
                <w:bCs w:val="1"/>
                <w:sz w:val="12"/>
                <w:szCs w:val="12"/>
                <w:u w:color="000000"/>
                <w:rtl w:val="0"/>
                <w:lang w:val="ru-RU"/>
              </w:rPr>
              <w:t>Категория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b w:val="1"/>
                <w:bCs w:val="1"/>
                <w:sz w:val="12"/>
                <w:szCs w:val="12"/>
                <w:u w:color="000000"/>
                <w:rtl w:val="0"/>
                <w:lang w:val="ru-RU"/>
              </w:rPr>
              <w:t>Открытые площадки</w:t>
            </w:r>
          </w:p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b w:val="1"/>
                <w:bCs w:val="1"/>
                <w:sz w:val="12"/>
                <w:szCs w:val="12"/>
                <w:u w:color="000000"/>
                <w:rtl w:val="0"/>
                <w:lang w:val="ru-RU"/>
              </w:rPr>
              <w:t>Внутри помещений</w:t>
            </w:r>
          </w:p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b w:val="1"/>
                <w:bCs w:val="1"/>
                <w:sz w:val="12"/>
                <w:szCs w:val="12"/>
                <w:u w:color="000000"/>
                <w:rtl w:val="0"/>
                <w:lang w:val="ru-RU"/>
              </w:rPr>
              <w:t>Отметить</w:t>
            </w:r>
          </w:p>
        </w:tc>
      </w:tr>
      <w:tr>
        <w:tblPrEx>
          <w:shd w:val="clear" w:color="auto" w:fill="ced7e7"/>
        </w:tblPrEx>
        <w:trPr>
          <w:trHeight w:val="285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С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1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Отапливаемые здания с чистой атмосферой</w:t>
            </w:r>
          </w:p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565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С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2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Атмосфера с низким уровнем загрязнений и сухим климатом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.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Сельская местность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Неотапливаемые здания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где может быть конденсация влаги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705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С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3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Городская и промышленная атмосфера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умеренно загрязненная окислом серы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.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Прибрежные районы с низкой соленостью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 xml:space="preserve">Производства с высокой влажностью и небольшой загрязненностью воздуха 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пищевые заводы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прачечные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565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С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4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Промышленные и прибрежные территории с умеренной с умеренной соленостью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Химические заводы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плавательные бассейны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прибрежные судостроительные верфи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425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С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5-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en-US"/>
              </w:rPr>
              <w:t>I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Промышленные районы с высокой влажностью и агрессивной атмосферой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425" w:hRule="atLeast"/>
        </w:trPr>
        <w:tc>
          <w:tcPr>
            <w:tcW w:type="dxa" w:w="574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3546"/>
            <w:vMerge w:val="continue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</w:tcPr>
          <w:p/>
        </w:tc>
        <w:tc>
          <w:tcPr>
            <w:tcW w:type="dxa" w:w="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en-US"/>
              </w:rPr>
              <w:t>C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5-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en-US"/>
              </w:rPr>
              <w:t>M</w:t>
            </w:r>
          </w:p>
        </w:tc>
        <w:tc>
          <w:tcPr>
            <w:tcW w:type="dxa" w:w="229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4"/>
                <w:szCs w:val="14"/>
                <w:u w:color="000000"/>
                <w:rtl w:val="0"/>
                <w:lang w:val="ru-RU"/>
              </w:rPr>
              <w:t>Прибрежные и морские районы с высокой соленостью</w:t>
            </w:r>
            <w:r>
              <w:rPr>
                <w:rFonts w:ascii="Arial" w:hAnsi="Arial"/>
                <w:sz w:val="14"/>
                <w:szCs w:val="14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2555"/>
            <w:gridSpan w:val="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  <w:tc>
          <w:tcPr>
            <w:tcW w:type="dxa" w:w="8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/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9881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3.2</w:t>
            </w:r>
          </w:p>
        </w:tc>
        <w:tc>
          <w:tcPr>
            <w:tcW w:type="dxa" w:w="9881"/>
            <w:gridSpan w:val="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Fonts w:ascii="Arial" w:cs="Arial" w:hAnsi="Arial" w:eastAsia="Arial"/>
                <w:b w:val="1"/>
                <w:bCs w:val="1"/>
                <w:sz w:val="18"/>
                <w:szCs w:val="18"/>
                <w:u w:color="000000"/>
                <w:rtl w:val="0"/>
              </w:rPr>
            </w:pP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ВНУТРЕННИЕ ПОВЕРХНОСТИ 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контактирующие с продуктом и его парами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).</w:t>
            </w:r>
          </w:p>
          <w:p>
            <w:pPr>
              <w:pStyle w:val="По умолчанию"/>
              <w:jc w:val="left"/>
            </w:pP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НАРУЖНЫЕ ПОВЕРХНОСТИ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эксплуатируемые в условиях погружения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переменного смачивания и заглубления</w:t>
            </w: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3.2.1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Химические соединения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постоянно присутствующие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концентрация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PH,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температура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(max, min,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рабочая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3.2.2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Вещества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применяемые для очистки конструкций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концентрация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температура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РН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3.2.3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Регулярность ухода и очистки поверхностей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3.2.4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Механическая нагрузка на поверхности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абразивная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ударная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изгиб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растяжение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1045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4.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Требования к покрытию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4.1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Необходимый срок службы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4.2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Соответствие стандартам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государственным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отраслевым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корпоративным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4.3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Цвет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глянец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4.4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Противопожарные свойства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электропроводность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пр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.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1045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5.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Условия нанесения</w:t>
            </w:r>
          </w:p>
        </w:tc>
      </w:tr>
      <w:tr>
        <w:tblPrEx>
          <w:shd w:val="clear" w:color="auto" w:fill="ced7e7"/>
        </w:tblPrEx>
        <w:trPr>
          <w:trHeight w:val="6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5.1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Метод нанесения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воздушное нанесение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безвоздушное нанесение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кисть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валик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4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5.2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 xml:space="preserve">Место нанесения 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(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заводские условия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строительная площадка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)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5.3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Температура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5.4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Относительная влажность воздуха</w:t>
            </w:r>
            <w:r>
              <w:rPr>
                <w:rFonts w:ascii="Arial" w:hAnsi="Arial"/>
                <w:sz w:val="18"/>
                <w:szCs w:val="18"/>
                <w:u w:color="000000"/>
                <w:rtl w:val="0"/>
                <w:lang w:val="ru-RU"/>
              </w:rPr>
              <w:t>, %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10455"/>
            <w:gridSpan w:val="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 xml:space="preserve">6. </w:t>
            </w:r>
            <w:r>
              <w:rPr>
                <w:rFonts w:ascii="Arial" w:hAnsi="Arial" w:hint="default"/>
                <w:b w:val="1"/>
                <w:bCs w:val="1"/>
                <w:sz w:val="18"/>
                <w:szCs w:val="18"/>
                <w:u w:color="000000"/>
                <w:rtl w:val="0"/>
                <w:lang w:val="ru-RU"/>
              </w:rPr>
              <w:t>Дополнительные пожелания</w:t>
            </w:r>
          </w:p>
        </w:tc>
      </w:tr>
      <w:tr>
        <w:tblPrEx>
          <w:shd w:val="clear" w:color="auto" w:fill="ced7e7"/>
        </w:tblPrEx>
        <w:trPr>
          <w:trHeight w:val="204" w:hRule="atLeast"/>
        </w:trPr>
        <w:tc>
          <w:tcPr>
            <w:tcW w:type="dxa" w:w="57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  <w:tc>
          <w:tcPr>
            <w:tcW w:type="dxa" w:w="35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  <w:tc>
          <w:tcPr>
            <w:tcW w:type="dxa" w:w="6334"/>
            <w:gridSpan w:val="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bidi w:val="0"/>
              <w:ind w:left="0" w:right="0" w:firstLine="0"/>
              <w:jc w:val="left"/>
              <w:rPr>
                <w:rtl w:val="0"/>
              </w:rPr>
            </w:pPr>
            <w:r>
              <w:rPr>
                <w:rFonts w:ascii="Arial" w:hAnsi="Arial" w:hint="default"/>
                <w:sz w:val="18"/>
                <w:szCs w:val="18"/>
                <w:u w:color="000000"/>
                <w:rtl w:val="0"/>
                <w:lang w:val="ru-RU"/>
              </w:rPr>
              <w:t> </w:t>
            </w:r>
          </w:p>
        </w:tc>
      </w:tr>
    </w:tbl>
    <w:p>
      <w:pPr>
        <w:pStyle w:val="Текстовый блок"/>
        <w:bidi w:val="0"/>
      </w:pPr>
    </w:p>
    <w:p>
      <w:pPr>
        <w:pStyle w:val="Текстовый блок"/>
        <w:widowControl w:val="0"/>
      </w:pPr>
      <w:r>
        <w:tab/>
        <w:tab/>
        <w:tab/>
        <w:tab/>
        <w:tab/>
        <w:tab/>
        <w:tab/>
        <w:tab/>
      </w:r>
    </w:p>
    <w:p>
      <w:pPr>
        <w:pStyle w:val="Текстовый блок"/>
        <w:bidi w:val="0"/>
      </w:pPr>
    </w:p>
    <w:p>
      <w:pPr>
        <w:pStyle w:val="Текстовый блок"/>
        <w:bidi w:val="0"/>
      </w:pPr>
      <w:r>
        <w:rPr>
          <w:rtl w:val="0"/>
          <w:lang w:val="ru-RU"/>
        </w:rPr>
        <w:t>Дата</w:t>
      </w:r>
    </w:p>
    <w:p>
      <w:pPr>
        <w:pStyle w:val="Текстовый блок"/>
        <w:bidi w:val="0"/>
      </w:pPr>
      <w:r>
        <w:tab/>
      </w:r>
    </w:p>
    <w:p>
      <w:pPr>
        <w:pStyle w:val="Текстовый блок"/>
        <w:bidi w:val="0"/>
      </w:pPr>
      <w:r>
        <w:rPr>
          <w:rtl w:val="0"/>
          <w:lang w:val="ru-RU"/>
        </w:rPr>
        <w:t>ЗАПОЛНИЛ</w:t>
        <w:tab/>
        <w:tab/>
        <w:tab/>
        <w:tab/>
        <w:tab/>
        <w:tab/>
        <w:tab/>
        <w:tab/>
        <w:t>Подпись</w:t>
      </w:r>
    </w:p>
    <w:p>
      <w:pPr>
        <w:pStyle w:val="Текстовый блок"/>
        <w:bidi w:val="0"/>
      </w:pPr>
      <w:r>
        <w:rPr>
          <w:rtl w:val="0"/>
          <w:lang w:val="ru-RU"/>
        </w:rPr>
        <w:t>(</w:t>
      </w:r>
      <w:r>
        <w:rPr>
          <w:rtl w:val="0"/>
          <w:lang w:val="ru-RU"/>
        </w:rPr>
        <w:t>контактные данные</w:t>
      </w:r>
      <w:r>
        <w:rPr>
          <w:rtl w:val="0"/>
          <w:lang w:val="ru-RU"/>
        </w:rPr>
        <w:t>)</w:t>
      </w:r>
    </w:p>
    <w:sectPr>
      <w:headerReference w:type="default" r:id="rId4"/>
      <w:footerReference w:type="default" r:id="rId5"/>
      <w:pgSz w:w="11906" w:h="16838" w:orient="portrait"/>
      <w:pgMar w:top="360" w:right="720" w:bottom="360" w:left="720" w:header="360" w:footer="36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tabs>
        <w:tab w:val="center" w:pos="5233"/>
        <w:tab w:val="right" w:pos="10466"/>
        <w:tab w:val="clear" w:pos="9020"/>
      </w:tabs>
      <w:jc w:val="left"/>
    </w:pPr>
    <w:r>
      <mc:AlternateContent>
        <mc:Choice Requires="wpg">
          <w:drawing xmlns:a="http://schemas.openxmlformats.org/drawingml/2006/main">
            <wp:inline distT="0" distB="0" distL="0" distR="0">
              <wp:extent cx="864741" cy="136070"/>
              <wp:effectExtent l="0" t="0" r="0" b="0"/>
              <wp:docPr id="1073741827" name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741" cy="136070"/>
                        <a:chOff x="0" y="0"/>
                        <a:chExt cx="864740" cy="136069"/>
                      </a:xfrm>
                    </wpg:grpSpPr>
                    <pic:pic xmlns:pic="http://schemas.openxmlformats.org/drawingml/2006/picture">
                      <pic:nvPicPr>
                        <pic:cNvPr id="1073741825" name="лого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228" cy="13607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назв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2330" y="0"/>
                          <a:ext cx="632411" cy="13607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_x0000_s1026" style="visibility:visible;width:68.1pt;height:10.7pt;" coordorigin="0,0" coordsize="864740,136069">
              <v:shape id="_x0000_s1027" type="#_x0000_t75" style="position:absolute;left:0;top:0;width:138227;height:136069;">
                <v:imagedata r:id="rId1" o:title="лого.png"/>
              </v:shape>
              <v:shape id="_x0000_s1028" type="#_x0000_t75" style="position:absolute;left:232331;top:0;width:632409;height:136069;">
                <v:imagedata r:id="rId2" o:title="назв.png"/>
              </v:shape>
            </v:group>
          </w:pict>
        </mc:Fallback>
      </mc:AlternateContent>
    </w:r>
    <w:r>
      <w:tab/>
      <w:tab/>
    </w:r>
    <w:r>
      <w:drawing xmlns:a="http://schemas.openxmlformats.org/drawingml/2006/main">
        <wp:inline distT="0" distB="0" distL="0" distR="0">
          <wp:extent cx="1442657" cy="169393"/>
          <wp:effectExtent l="0" t="0" r="0" b="0"/>
          <wp:docPr id="1073741828" name="officeArt object" descr="INTRNT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INTRNT13" descr="INTRNT13"/>
                  <pic:cNvPicPr>
                    <a:picLocks noChangeAspect="1"/>
                  </pic:cNvPicPr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657" cy="16939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Текстовый блок">
    <w:name w:val="Текстовый блок"/>
    <w:next w:val="Текстовый блок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Заголовок 2">
    <w:name w:val="Заголовок 2"/>
    <w:next w:val="Текстовый блок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1"/>
    </w:pPr>
    <w:rPr>
      <w:rFonts w:ascii="Helvetica Neue" w:cs="Arial Unicode MS" w:hAnsi="Helvetica Neue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2"/>
      <w:szCs w:val="3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theme" Target="theme/theme1.xml"/></Relationships>
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